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2DD2" w14:textId="77777777" w:rsidR="00A921A6" w:rsidRDefault="00A921A6">
      <w:pPr>
        <w:rPr>
          <w:rFonts w:ascii="Arial" w:hAnsi="Arial" w:cs="Arial"/>
          <w:sz w:val="28"/>
        </w:rPr>
      </w:pPr>
    </w:p>
    <w:p w14:paraId="29E4D64A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HH-030RR</w:t>
      </w:r>
      <w:r>
        <w:rPr>
          <w:rFonts w:ascii="Arial" w:hAnsi="Arial" w:cs="Arial"/>
          <w:sz w:val="28"/>
        </w:rPr>
        <w:t xml:space="preserve"> </w:t>
      </w:r>
    </w:p>
    <w:p w14:paraId="4AFD983E" w14:textId="77777777" w:rsidR="00A921A6" w:rsidRDefault="00A921A6">
      <w:pPr>
        <w:rPr>
          <w:rFonts w:ascii="Arial" w:hAnsi="Arial" w:cs="Arial"/>
          <w:sz w:val="28"/>
        </w:rPr>
      </w:pPr>
    </w:p>
    <w:p w14:paraId="7DC667AC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Multi-Color Halo Rat Rod Headlights with Clear Halogen Bulbs</w:t>
      </w:r>
    </w:p>
    <w:p w14:paraId="3F8439EE" w14:textId="77777777" w:rsidR="00A921A6" w:rsidRDefault="00A921A6">
      <w:pPr>
        <w:rPr>
          <w:rFonts w:ascii="Arial" w:hAnsi="Arial" w:cs="Arial"/>
          <w:sz w:val="28"/>
        </w:rPr>
      </w:pPr>
    </w:p>
    <w:p w14:paraId="4EAF3075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1E2DFE8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Multi-Color Halo Rat Rod Headlights</w:t>
      </w:r>
    </w:p>
    <w:p w14:paraId="67B4943B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5A78A2E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576CCC05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3DBB655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1EEE9E8B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4344EECC" w14:textId="77777777" w:rsidR="00A921A6" w:rsidRDefault="00A921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4689D9B5" w14:textId="77777777" w:rsidR="00A921A6" w:rsidRPr="00A921A6" w:rsidRDefault="00A921A6">
      <w:pPr>
        <w:rPr>
          <w:rFonts w:ascii="Arial" w:hAnsi="Arial" w:cs="Arial"/>
          <w:sz w:val="28"/>
        </w:rPr>
      </w:pPr>
    </w:p>
    <w:sectPr w:rsidR="00A921A6" w:rsidRPr="00A921A6" w:rsidSect="00A921A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A6"/>
    <w:rsid w:val="00A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3D7E"/>
  <w15:chartTrackingRefBased/>
  <w15:docId w15:val="{72F70464-416F-44B9-81EB-EA46AD08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